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70" w:rsidRPr="00882888" w:rsidRDefault="001A7382">
      <w:pPr>
        <w:rPr>
          <w:rFonts w:ascii="Century Gothic" w:hAnsi="Century Gothic"/>
        </w:rPr>
      </w:pPr>
      <w:r w:rsidRPr="001A7382">
        <w:rPr>
          <w:rFonts w:ascii="Century Gothic" w:hAnsi="Century Gothic"/>
          <w:noProof/>
        </w:rPr>
        <w:drawing>
          <wp:inline distT="0" distB="0" distL="0" distR="0">
            <wp:extent cx="571500" cy="1200150"/>
            <wp:effectExtent l="0" t="0" r="0" b="0"/>
            <wp:docPr id="1" name="Picture 1" descr="\\MAEFS1\StaffDepartments\Information Technology\ID Badge Data\Current Design\may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FS1\StaffDepartments\Information Technology\ID Badge Data\Current Design\maya-logo.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200150"/>
                    </a:xfrm>
                    <a:prstGeom prst="rect">
                      <a:avLst/>
                    </a:prstGeom>
                    <a:noFill/>
                    <a:ln>
                      <a:noFill/>
                    </a:ln>
                  </pic:spPr>
                </pic:pic>
              </a:graphicData>
            </a:graphic>
          </wp:inline>
        </w:drawing>
      </w:r>
      <w:r>
        <w:rPr>
          <w:rFonts w:ascii="Century Gothic" w:hAnsi="Century Gothic"/>
        </w:rPr>
        <w:tab/>
      </w:r>
      <w:r>
        <w:rPr>
          <w:rFonts w:ascii="Century Gothic" w:hAnsi="Century Gothic"/>
        </w:rPr>
        <w:tab/>
      </w:r>
      <w:r>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noProof/>
        </w:rPr>
        <w:drawing>
          <wp:inline distT="0" distB="0" distL="0" distR="0">
            <wp:extent cx="2038350" cy="704850"/>
            <wp:effectExtent l="0" t="0" r="0" b="0"/>
            <wp:docPr id="86" name="Shape 86"/>
            <wp:cNvGraphicFramePr/>
            <a:graphic xmlns:a="http://schemas.openxmlformats.org/drawingml/2006/main">
              <a:graphicData uri="http://schemas.openxmlformats.org/drawingml/2006/picture">
                <pic:pic xmlns:pic="http://schemas.openxmlformats.org/drawingml/2006/picture">
                  <pic:nvPicPr>
                    <pic:cNvPr id="86" name="Shape 86"/>
                    <pic:cNvPicPr preferRelativeResize="0"/>
                  </pic:nvPicPr>
                  <pic:blipFill rotWithShape="1">
                    <a:blip r:embed="rId8">
                      <a:alphaModFix/>
                    </a:blip>
                    <a:srcRect/>
                    <a:stretch/>
                  </pic:blipFill>
                  <pic:spPr>
                    <a:xfrm>
                      <a:off x="0" y="0"/>
                      <a:ext cx="2038990" cy="705071"/>
                    </a:xfrm>
                    <a:prstGeom prst="rect">
                      <a:avLst/>
                    </a:prstGeom>
                    <a:noFill/>
                    <a:ln>
                      <a:noFill/>
                    </a:ln>
                  </pic:spPr>
                </pic:pic>
              </a:graphicData>
            </a:graphic>
          </wp:inline>
        </w:drawing>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r w:rsidR="00882888" w:rsidRPr="00882888">
        <w:rPr>
          <w:rFonts w:ascii="Century Gothic" w:hAnsi="Century Gothic"/>
        </w:rPr>
        <w:tab/>
      </w:r>
    </w:p>
    <w:p w:rsidR="006E3808" w:rsidRDefault="00882888" w:rsidP="002E4870">
      <w:pPr>
        <w:spacing w:after="0" w:line="240" w:lineRule="auto"/>
        <w:jc w:val="center"/>
        <w:rPr>
          <w:rFonts w:ascii="Century Gothic" w:hAnsi="Century Gothic"/>
          <w:b/>
          <w:sz w:val="28"/>
          <w:szCs w:val="28"/>
        </w:rPr>
      </w:pPr>
      <w:r w:rsidRPr="00882888">
        <w:rPr>
          <w:rFonts w:ascii="Century Gothic" w:hAnsi="Century Gothic"/>
          <w:b/>
          <w:sz w:val="28"/>
          <w:szCs w:val="28"/>
        </w:rPr>
        <w:t xml:space="preserve">MAPCS </w:t>
      </w:r>
      <w:r w:rsidR="006E3808">
        <w:rPr>
          <w:rFonts w:ascii="Century Gothic" w:hAnsi="Century Gothic"/>
          <w:b/>
          <w:sz w:val="28"/>
          <w:szCs w:val="28"/>
        </w:rPr>
        <w:t>Academy</w:t>
      </w:r>
      <w:r w:rsidRPr="00882888">
        <w:rPr>
          <w:rFonts w:ascii="Century Gothic" w:hAnsi="Century Gothic"/>
          <w:b/>
          <w:sz w:val="28"/>
          <w:szCs w:val="28"/>
        </w:rPr>
        <w:t xml:space="preserve"> of Hospitality and Tourism </w:t>
      </w:r>
    </w:p>
    <w:p w:rsidR="00882888" w:rsidRDefault="00882888" w:rsidP="002E4870">
      <w:pPr>
        <w:spacing w:after="0" w:line="240" w:lineRule="auto"/>
        <w:jc w:val="center"/>
        <w:rPr>
          <w:rFonts w:ascii="Century Gothic" w:hAnsi="Century Gothic"/>
          <w:b/>
          <w:sz w:val="28"/>
          <w:szCs w:val="28"/>
        </w:rPr>
      </w:pPr>
      <w:r w:rsidRPr="00882888">
        <w:rPr>
          <w:rFonts w:ascii="Century Gothic" w:hAnsi="Century Gothic"/>
          <w:b/>
          <w:sz w:val="28"/>
          <w:szCs w:val="28"/>
        </w:rPr>
        <w:t>Policies</w:t>
      </w:r>
      <w:r w:rsidR="006E3808">
        <w:rPr>
          <w:rFonts w:ascii="Century Gothic" w:hAnsi="Century Gothic"/>
          <w:b/>
          <w:sz w:val="28"/>
          <w:szCs w:val="28"/>
        </w:rPr>
        <w:t xml:space="preserve"> &amp; Standards</w:t>
      </w:r>
    </w:p>
    <w:p w:rsidR="002E4870" w:rsidRPr="00882888" w:rsidRDefault="002E4870" w:rsidP="002E4870">
      <w:pPr>
        <w:spacing w:after="0" w:line="240" w:lineRule="auto"/>
        <w:jc w:val="center"/>
        <w:rPr>
          <w:rFonts w:ascii="Century Gothic" w:hAnsi="Century Gothic"/>
          <w:b/>
          <w:sz w:val="28"/>
          <w:szCs w:val="28"/>
        </w:rPr>
      </w:pPr>
    </w:p>
    <w:p w:rsidR="00882888" w:rsidRPr="00882888" w:rsidRDefault="00882888">
      <w:pPr>
        <w:rPr>
          <w:rFonts w:ascii="Century Gothic" w:hAnsi="Century Gothic"/>
        </w:rPr>
      </w:pPr>
    </w:p>
    <w:p w:rsidR="00CF0841" w:rsidRPr="008344A1" w:rsidRDefault="00CF0841" w:rsidP="00882888">
      <w:pPr>
        <w:pStyle w:val="ListParagraph"/>
        <w:numPr>
          <w:ilvl w:val="0"/>
          <w:numId w:val="1"/>
        </w:numPr>
        <w:rPr>
          <w:rFonts w:ascii="Century Gothic" w:hAnsi="Century Gothic"/>
          <w:b/>
        </w:rPr>
      </w:pPr>
      <w:r w:rsidRPr="00882888">
        <w:rPr>
          <w:rFonts w:ascii="Century Gothic" w:hAnsi="Century Gothic"/>
          <w:b/>
        </w:rPr>
        <w:t xml:space="preserve">Open </w:t>
      </w:r>
      <w:r w:rsidR="00882888" w:rsidRPr="00882888">
        <w:rPr>
          <w:rFonts w:ascii="Century Gothic" w:hAnsi="Century Gothic"/>
          <w:b/>
        </w:rPr>
        <w:t>Choice Enrollment Process</w:t>
      </w:r>
      <w:r w:rsidR="000A4B3A">
        <w:rPr>
          <w:rFonts w:ascii="Century Gothic" w:hAnsi="Century Gothic"/>
        </w:rPr>
        <w:t xml:space="preserve">: The MAPCS </w:t>
      </w:r>
      <w:r w:rsidR="006E3808">
        <w:rPr>
          <w:rFonts w:ascii="Century Gothic" w:hAnsi="Century Gothic"/>
        </w:rPr>
        <w:t>Academy</w:t>
      </w:r>
      <w:r w:rsidR="000A4B3A">
        <w:rPr>
          <w:rFonts w:ascii="Century Gothic" w:hAnsi="Century Gothic"/>
        </w:rPr>
        <w:t xml:space="preserve"> of Hospitality and Tourism (AOHT)</w:t>
      </w:r>
      <w:r w:rsidRPr="00882888">
        <w:rPr>
          <w:rFonts w:ascii="Century Gothic" w:hAnsi="Century Gothic"/>
        </w:rPr>
        <w:t xml:space="preserve"> accepts students based on interest rather than academic record. Students are eligible even if they have a </w:t>
      </w:r>
      <w:r w:rsidR="008344A1">
        <w:rPr>
          <w:rFonts w:ascii="Century Gothic" w:hAnsi="Century Gothic"/>
        </w:rPr>
        <w:t>low GPA.</w:t>
      </w:r>
    </w:p>
    <w:p w:rsidR="008344A1" w:rsidRPr="000A4B3A" w:rsidRDefault="008344A1" w:rsidP="008344A1">
      <w:pPr>
        <w:pStyle w:val="ListParagraph"/>
        <w:rPr>
          <w:rFonts w:ascii="Century Gothic" w:hAnsi="Century Gothic"/>
          <w:b/>
        </w:rPr>
      </w:pPr>
    </w:p>
    <w:p w:rsidR="000A4B3A" w:rsidRPr="00882888" w:rsidRDefault="000A4B3A" w:rsidP="008344A1">
      <w:pPr>
        <w:pStyle w:val="ListParagraph"/>
        <w:rPr>
          <w:rFonts w:ascii="Century Gothic" w:hAnsi="Century Gothic"/>
          <w:b/>
        </w:rPr>
      </w:pPr>
    </w:p>
    <w:p w:rsidR="00882888" w:rsidRPr="006E3808" w:rsidRDefault="00882888" w:rsidP="00882888">
      <w:pPr>
        <w:pStyle w:val="ListParagraph"/>
        <w:numPr>
          <w:ilvl w:val="0"/>
          <w:numId w:val="1"/>
        </w:numPr>
        <w:rPr>
          <w:rFonts w:ascii="Century Gothic" w:hAnsi="Century Gothic"/>
        </w:rPr>
      </w:pPr>
      <w:r w:rsidRPr="00882888">
        <w:rPr>
          <w:rFonts w:ascii="Century Gothic" w:hAnsi="Century Gothic"/>
          <w:b/>
        </w:rPr>
        <w:t>NAF Standards</w:t>
      </w:r>
      <w:r>
        <w:rPr>
          <w:rFonts w:ascii="Century Gothic" w:hAnsi="Century Gothic"/>
          <w:b/>
        </w:rPr>
        <w:t>:</w:t>
      </w:r>
    </w:p>
    <w:p w:rsidR="006E3808" w:rsidRPr="006E3808" w:rsidRDefault="006E3808" w:rsidP="006E3808">
      <w:pPr>
        <w:pStyle w:val="ListParagraph"/>
        <w:rPr>
          <w:rFonts w:ascii="Century Gothic" w:hAnsi="Century Gothic"/>
        </w:rPr>
      </w:pPr>
    </w:p>
    <w:p w:rsidR="006E3808" w:rsidRDefault="006E3808" w:rsidP="006E3808">
      <w:pPr>
        <w:pStyle w:val="ListParagraph"/>
        <w:rPr>
          <w:rFonts w:ascii="Century Gothic" w:hAnsi="Century Gothic"/>
        </w:rPr>
      </w:pPr>
      <w:r w:rsidRPr="000A4B3A">
        <w:rPr>
          <w:rFonts w:ascii="Century Gothic" w:hAnsi="Century Gothic"/>
          <w:b/>
        </w:rPr>
        <w:t>Graduation requirements</w:t>
      </w:r>
      <w:r>
        <w:rPr>
          <w:rFonts w:ascii="Century Gothic" w:hAnsi="Century Gothic"/>
          <w:b/>
        </w:rPr>
        <w:t xml:space="preserve"> for AOHT students</w:t>
      </w:r>
      <w:r w:rsidRPr="000A4B3A">
        <w:rPr>
          <w:rFonts w:ascii="Century Gothic" w:hAnsi="Century Gothic"/>
          <w:b/>
        </w:rPr>
        <w:t>:</w:t>
      </w:r>
      <w:r w:rsidRPr="000A4B3A">
        <w:rPr>
          <w:rFonts w:ascii="Century Gothic" w:hAnsi="Century Gothic"/>
        </w:rPr>
        <w:t xml:space="preserve"> </w:t>
      </w:r>
    </w:p>
    <w:p w:rsidR="006E3808" w:rsidRDefault="006E3808" w:rsidP="006E3808">
      <w:pPr>
        <w:pStyle w:val="ListParagraph"/>
        <w:numPr>
          <w:ilvl w:val="1"/>
          <w:numId w:val="1"/>
        </w:numPr>
        <w:rPr>
          <w:rFonts w:ascii="Century Gothic" w:hAnsi="Century Gothic"/>
        </w:rPr>
      </w:pPr>
      <w:r>
        <w:rPr>
          <w:rFonts w:ascii="Century Gothic" w:hAnsi="Century Gothic"/>
        </w:rPr>
        <w:t>C</w:t>
      </w:r>
      <w:r w:rsidRPr="000A4B3A">
        <w:rPr>
          <w:rFonts w:ascii="Century Gothic" w:hAnsi="Century Gothic"/>
        </w:rPr>
        <w:t>omplete at least 4 courses</w:t>
      </w:r>
    </w:p>
    <w:p w:rsidR="006E3808" w:rsidRDefault="006E3808" w:rsidP="006E3808">
      <w:pPr>
        <w:pStyle w:val="ListParagraph"/>
        <w:numPr>
          <w:ilvl w:val="1"/>
          <w:numId w:val="1"/>
        </w:numPr>
        <w:rPr>
          <w:rFonts w:ascii="Century Gothic" w:hAnsi="Century Gothic"/>
        </w:rPr>
      </w:pPr>
      <w:r>
        <w:rPr>
          <w:rFonts w:ascii="Century Gothic" w:hAnsi="Century Gothic"/>
        </w:rPr>
        <w:t>C</w:t>
      </w:r>
      <w:r w:rsidRPr="000A4B3A">
        <w:rPr>
          <w:rFonts w:ascii="Century Gothic" w:hAnsi="Century Gothic"/>
        </w:rPr>
        <w:t xml:space="preserve">omplete a sequenced set of work-based learning experiences. </w:t>
      </w:r>
    </w:p>
    <w:p w:rsidR="006E3808" w:rsidRPr="000A4B3A" w:rsidRDefault="006E3808" w:rsidP="006E3808">
      <w:pPr>
        <w:pStyle w:val="ListParagraph"/>
        <w:numPr>
          <w:ilvl w:val="2"/>
          <w:numId w:val="1"/>
        </w:numPr>
        <w:rPr>
          <w:rFonts w:ascii="Century Gothic" w:hAnsi="Century Gothic"/>
        </w:rPr>
      </w:pPr>
      <w:r w:rsidRPr="000A4B3A">
        <w:rPr>
          <w:rFonts w:ascii="Century Gothic" w:hAnsi="Century Gothic"/>
        </w:rPr>
        <w:t xml:space="preserve">The </w:t>
      </w:r>
      <w:r>
        <w:rPr>
          <w:rFonts w:ascii="Century Gothic" w:hAnsi="Century Gothic"/>
        </w:rPr>
        <w:t>AOHT</w:t>
      </w:r>
      <w:r w:rsidRPr="000A4B3A">
        <w:rPr>
          <w:rFonts w:ascii="Century Gothic" w:hAnsi="Century Gothic"/>
        </w:rPr>
        <w:t xml:space="preserve"> develops and offers students a sequenced set of work-based learning experiences that culminate in high quality compensated internships.</w:t>
      </w:r>
    </w:p>
    <w:p w:rsidR="006E3808" w:rsidRDefault="006E3808" w:rsidP="006E3808">
      <w:pPr>
        <w:pStyle w:val="ListParagraph"/>
        <w:numPr>
          <w:ilvl w:val="1"/>
          <w:numId w:val="1"/>
        </w:numPr>
        <w:rPr>
          <w:rFonts w:ascii="Century Gothic" w:hAnsi="Century Gothic"/>
        </w:rPr>
      </w:pPr>
      <w:r>
        <w:rPr>
          <w:rFonts w:ascii="Century Gothic" w:hAnsi="Century Gothic"/>
        </w:rPr>
        <w:t xml:space="preserve">Complete paid internship </w:t>
      </w:r>
    </w:p>
    <w:p w:rsidR="00882888" w:rsidRPr="000A4B3A" w:rsidRDefault="00882888" w:rsidP="000A4B3A">
      <w:pPr>
        <w:ind w:left="720"/>
        <w:rPr>
          <w:rFonts w:ascii="Century Gothic" w:hAnsi="Century Gothic"/>
        </w:rPr>
      </w:pPr>
      <w:r w:rsidRPr="000A4B3A">
        <w:rPr>
          <w:rFonts w:ascii="Century Gothic" w:hAnsi="Century Gothic"/>
          <w:b/>
        </w:rPr>
        <w:t>Career awareness</w:t>
      </w:r>
      <w:r w:rsidRPr="000A4B3A">
        <w:rPr>
          <w:rFonts w:ascii="Century Gothic" w:hAnsi="Century Gothic"/>
        </w:rPr>
        <w:t>:</w:t>
      </w:r>
    </w:p>
    <w:p w:rsidR="00882888" w:rsidRDefault="00CF0841" w:rsidP="006D7997">
      <w:pPr>
        <w:pStyle w:val="ListParagraph"/>
        <w:numPr>
          <w:ilvl w:val="1"/>
          <w:numId w:val="1"/>
        </w:numPr>
        <w:rPr>
          <w:rFonts w:ascii="Century Gothic" w:hAnsi="Century Gothic"/>
        </w:rPr>
      </w:pPr>
      <w:r w:rsidRPr="00882888">
        <w:rPr>
          <w:rFonts w:ascii="Century Gothic" w:hAnsi="Century Gothic"/>
        </w:rPr>
        <w:t xml:space="preserve">All </w:t>
      </w:r>
      <w:r w:rsidR="006E3808">
        <w:rPr>
          <w:rFonts w:ascii="Century Gothic" w:hAnsi="Century Gothic"/>
        </w:rPr>
        <w:t>AOHT</w:t>
      </w:r>
      <w:r w:rsidRPr="00882888">
        <w:rPr>
          <w:rFonts w:ascii="Century Gothic" w:hAnsi="Century Gothic"/>
        </w:rPr>
        <w:t xml:space="preserve"> students receive career-themed guidance on college exploration and college choices based on their individual interests</w:t>
      </w:r>
    </w:p>
    <w:p w:rsidR="00882888" w:rsidRDefault="00CF0841" w:rsidP="006D7997">
      <w:pPr>
        <w:pStyle w:val="ListParagraph"/>
        <w:numPr>
          <w:ilvl w:val="1"/>
          <w:numId w:val="1"/>
        </w:numPr>
        <w:rPr>
          <w:rFonts w:ascii="Century Gothic" w:hAnsi="Century Gothic"/>
        </w:rPr>
      </w:pPr>
      <w:r w:rsidRPr="00882888">
        <w:rPr>
          <w:rFonts w:ascii="Century Gothic" w:hAnsi="Century Gothic"/>
        </w:rPr>
        <w:t>Students are involved with activities that help them understand how school relates to the world of work. Classroom experiences link the theme to academic coursework and to career content that will assist the</w:t>
      </w:r>
      <w:r w:rsidR="00882888">
        <w:rPr>
          <w:rFonts w:ascii="Century Gothic" w:hAnsi="Century Gothic"/>
        </w:rPr>
        <w:t xml:space="preserve">m in entering the field. </w:t>
      </w:r>
    </w:p>
    <w:p w:rsidR="000A4B3A" w:rsidRDefault="00CF0841" w:rsidP="000A4B3A">
      <w:pPr>
        <w:ind w:firstLine="720"/>
        <w:rPr>
          <w:rFonts w:ascii="Century Gothic" w:hAnsi="Century Gothic"/>
          <w:b/>
        </w:rPr>
      </w:pPr>
      <w:r w:rsidRPr="000A4B3A">
        <w:rPr>
          <w:rFonts w:ascii="Century Gothic" w:hAnsi="Century Gothic"/>
          <w:b/>
        </w:rPr>
        <w:t>Career exploration:</w:t>
      </w:r>
    </w:p>
    <w:p w:rsidR="000A4B3A" w:rsidRDefault="00CF0841" w:rsidP="000A4B3A">
      <w:pPr>
        <w:pStyle w:val="ListParagraph"/>
        <w:numPr>
          <w:ilvl w:val="0"/>
          <w:numId w:val="3"/>
        </w:numPr>
        <w:rPr>
          <w:rFonts w:ascii="Century Gothic" w:hAnsi="Century Gothic"/>
        </w:rPr>
      </w:pPr>
      <w:r w:rsidRPr="000A4B3A">
        <w:rPr>
          <w:rFonts w:ascii="Century Gothic" w:hAnsi="Century Gothic"/>
        </w:rPr>
        <w:t xml:space="preserve">Students have direct interaction (actual or </w:t>
      </w:r>
      <w:r w:rsidR="00EF622D">
        <w:rPr>
          <w:rFonts w:ascii="Century Gothic" w:hAnsi="Century Gothic"/>
        </w:rPr>
        <w:t>virtual) with professionals from the hospitality and tourism</w:t>
      </w:r>
      <w:bookmarkStart w:id="0" w:name="_GoBack"/>
      <w:bookmarkEnd w:id="0"/>
      <w:r w:rsidRPr="000A4B3A">
        <w:rPr>
          <w:rFonts w:ascii="Century Gothic" w:hAnsi="Century Gothic"/>
        </w:rPr>
        <w:t xml:space="preserve"> industry that provide the opportunity for two-way communication between the partner and the student. </w:t>
      </w:r>
    </w:p>
    <w:p w:rsidR="000A4B3A" w:rsidRDefault="00CF0841" w:rsidP="000A4B3A">
      <w:pPr>
        <w:pStyle w:val="ListParagraph"/>
        <w:numPr>
          <w:ilvl w:val="0"/>
          <w:numId w:val="3"/>
        </w:numPr>
        <w:rPr>
          <w:rFonts w:ascii="Century Gothic" w:hAnsi="Century Gothic"/>
        </w:rPr>
      </w:pPr>
      <w:r w:rsidRPr="000A4B3A">
        <w:rPr>
          <w:rFonts w:ascii="Century Gothic" w:hAnsi="Century Gothic"/>
        </w:rPr>
        <w:t xml:space="preserve">All students are involved in activities that provide a full understanding of the range of occupations within their </w:t>
      </w:r>
      <w:r w:rsidR="006E3808">
        <w:rPr>
          <w:rFonts w:ascii="Century Gothic" w:hAnsi="Century Gothic"/>
        </w:rPr>
        <w:t>AOHT</w:t>
      </w:r>
      <w:r w:rsidRPr="000A4B3A">
        <w:rPr>
          <w:rFonts w:ascii="Century Gothic" w:hAnsi="Century Gothic"/>
        </w:rPr>
        <w:t>’s industry including skills and education required.</w:t>
      </w:r>
    </w:p>
    <w:p w:rsidR="000A4B3A" w:rsidRDefault="00CF0841" w:rsidP="000A4B3A">
      <w:pPr>
        <w:ind w:firstLine="720"/>
        <w:rPr>
          <w:rFonts w:ascii="Century Gothic" w:hAnsi="Century Gothic"/>
          <w:b/>
        </w:rPr>
      </w:pPr>
      <w:r w:rsidRPr="000A4B3A">
        <w:rPr>
          <w:rFonts w:ascii="Century Gothic" w:hAnsi="Century Gothic"/>
          <w:b/>
        </w:rPr>
        <w:t>Career preparation:</w:t>
      </w:r>
    </w:p>
    <w:p w:rsidR="000A4B3A" w:rsidRDefault="00CF0841" w:rsidP="000A4B3A">
      <w:pPr>
        <w:pStyle w:val="ListParagraph"/>
        <w:numPr>
          <w:ilvl w:val="0"/>
          <w:numId w:val="4"/>
        </w:numPr>
        <w:rPr>
          <w:rFonts w:ascii="Century Gothic" w:hAnsi="Century Gothic"/>
        </w:rPr>
      </w:pPr>
      <w:r w:rsidRPr="000A4B3A">
        <w:rPr>
          <w:rFonts w:ascii="Century Gothic" w:hAnsi="Century Gothic"/>
        </w:rPr>
        <w:t>Students have direct, systematic interaction with the professionals from industry over a period of time at a level of depth sufficient to enable students to develop and demonstra</w:t>
      </w:r>
      <w:r w:rsidR="000A4B3A">
        <w:rPr>
          <w:rFonts w:ascii="Century Gothic" w:hAnsi="Century Gothic"/>
        </w:rPr>
        <w:t>te specific knowledge and skill</w:t>
      </w:r>
      <w:r w:rsidRPr="000A4B3A">
        <w:rPr>
          <w:rFonts w:ascii="Century Gothic" w:hAnsi="Century Gothic"/>
        </w:rPr>
        <w:t xml:space="preserve">. </w:t>
      </w:r>
    </w:p>
    <w:p w:rsidR="000A4B3A" w:rsidRPr="000A4B3A" w:rsidRDefault="000A4B3A" w:rsidP="000A4B3A">
      <w:pPr>
        <w:pStyle w:val="ListParagraph"/>
        <w:numPr>
          <w:ilvl w:val="0"/>
          <w:numId w:val="4"/>
        </w:numPr>
        <w:rPr>
          <w:rFonts w:ascii="Century Gothic" w:hAnsi="Century Gothic"/>
        </w:rPr>
      </w:pPr>
      <w:r w:rsidRPr="000A4B3A">
        <w:rPr>
          <w:rFonts w:ascii="Century Gothic" w:hAnsi="Century Gothic"/>
        </w:rPr>
        <w:t>S</w:t>
      </w:r>
      <w:r w:rsidR="00CF0841" w:rsidRPr="000A4B3A">
        <w:rPr>
          <w:rFonts w:ascii="Century Gothic" w:hAnsi="Century Gothic"/>
        </w:rPr>
        <w:t>tudents participate in selecting their internship ba</w:t>
      </w:r>
      <w:r w:rsidRPr="000A4B3A">
        <w:rPr>
          <w:rFonts w:ascii="Century Gothic" w:hAnsi="Century Gothic"/>
        </w:rPr>
        <w:t>sed on their interests.</w:t>
      </w:r>
    </w:p>
    <w:p w:rsidR="000A4B3A" w:rsidRDefault="000A4B3A" w:rsidP="000A4B3A">
      <w:pPr>
        <w:ind w:firstLine="720"/>
        <w:rPr>
          <w:rFonts w:ascii="Century Gothic" w:hAnsi="Century Gothic"/>
        </w:rPr>
      </w:pPr>
      <w:r w:rsidRPr="000A4B3A">
        <w:rPr>
          <w:rFonts w:ascii="Century Gothic" w:hAnsi="Century Gothic"/>
          <w:b/>
        </w:rPr>
        <w:t>Work-based learning:</w:t>
      </w:r>
      <w:r w:rsidRPr="00882888">
        <w:rPr>
          <w:rFonts w:ascii="Century Gothic" w:hAnsi="Century Gothic"/>
        </w:rPr>
        <w:t xml:space="preserve"> </w:t>
      </w:r>
    </w:p>
    <w:p w:rsidR="000A4B3A" w:rsidRDefault="000A4B3A" w:rsidP="000A4B3A">
      <w:pPr>
        <w:pStyle w:val="ListParagraph"/>
        <w:numPr>
          <w:ilvl w:val="0"/>
          <w:numId w:val="8"/>
        </w:numPr>
        <w:rPr>
          <w:rFonts w:ascii="Century Gothic" w:hAnsi="Century Gothic"/>
        </w:rPr>
      </w:pPr>
      <w:r w:rsidRPr="000A4B3A">
        <w:rPr>
          <w:rFonts w:ascii="Century Gothic" w:hAnsi="Century Gothic"/>
        </w:rPr>
        <w:t xml:space="preserve">Work-based learning is an educational approach that engages students in real world activities by linking learning in the workplace to learning in the classroom. </w:t>
      </w:r>
    </w:p>
    <w:p w:rsidR="000A4B3A" w:rsidRPr="000A4B3A" w:rsidRDefault="000A4B3A" w:rsidP="000A4B3A">
      <w:pPr>
        <w:pStyle w:val="ListParagraph"/>
        <w:numPr>
          <w:ilvl w:val="0"/>
          <w:numId w:val="8"/>
        </w:numPr>
        <w:rPr>
          <w:rFonts w:ascii="Century Gothic" w:hAnsi="Century Gothic"/>
        </w:rPr>
      </w:pPr>
      <w:r w:rsidRPr="000A4B3A">
        <w:rPr>
          <w:rFonts w:ascii="Century Gothic" w:hAnsi="Century Gothic"/>
        </w:rPr>
        <w:t>Work-based learning intentionally promotes students’ exposure and access to future education and career opportunities. The work-based learning program includes interactions with employers, from career exploration discussions to mentoring, field trips, and job shadowing, to internships.</w:t>
      </w:r>
    </w:p>
    <w:p w:rsidR="000A4B3A" w:rsidRDefault="00CF0841" w:rsidP="000A4B3A">
      <w:pPr>
        <w:ind w:firstLine="720"/>
        <w:rPr>
          <w:rFonts w:ascii="Century Gothic" w:hAnsi="Century Gothic"/>
        </w:rPr>
      </w:pPr>
      <w:r w:rsidRPr="000A4B3A">
        <w:rPr>
          <w:rFonts w:ascii="Century Gothic" w:hAnsi="Century Gothic"/>
          <w:b/>
        </w:rPr>
        <w:t>Evaluation process for work-based learning:</w:t>
      </w:r>
      <w:r w:rsidRPr="000A4B3A">
        <w:rPr>
          <w:rFonts w:ascii="Century Gothic" w:hAnsi="Century Gothic"/>
        </w:rPr>
        <w:t xml:space="preserve"> </w:t>
      </w:r>
    </w:p>
    <w:p w:rsidR="000A4B3A" w:rsidRDefault="00CF0841" w:rsidP="000A4B3A">
      <w:pPr>
        <w:pStyle w:val="ListParagraph"/>
        <w:numPr>
          <w:ilvl w:val="0"/>
          <w:numId w:val="5"/>
        </w:numPr>
        <w:rPr>
          <w:rFonts w:ascii="Century Gothic" w:hAnsi="Century Gothic"/>
        </w:rPr>
      </w:pPr>
      <w:r w:rsidRPr="000A4B3A">
        <w:rPr>
          <w:rFonts w:ascii="Century Gothic" w:hAnsi="Century Gothic"/>
        </w:rPr>
        <w:t xml:space="preserve">Student performance is evaluated by the partners and the teacher/coordinator before, during and after any work-based learning activity, such as job shadowing, presentations. The student internship experience is evaluated through the internship assessment. </w:t>
      </w:r>
    </w:p>
    <w:p w:rsidR="000A4B3A" w:rsidRDefault="00CF0841" w:rsidP="000A4B3A">
      <w:pPr>
        <w:ind w:firstLine="720"/>
        <w:rPr>
          <w:rFonts w:ascii="Century Gothic" w:hAnsi="Century Gothic"/>
        </w:rPr>
      </w:pPr>
      <w:r w:rsidRPr="000A4B3A">
        <w:rPr>
          <w:rFonts w:ascii="Century Gothic" w:hAnsi="Century Gothic"/>
          <w:b/>
        </w:rPr>
        <w:t>Compensated Internship:</w:t>
      </w:r>
      <w:r w:rsidRPr="000A4B3A">
        <w:rPr>
          <w:rFonts w:ascii="Century Gothic" w:hAnsi="Century Gothic"/>
        </w:rPr>
        <w:t xml:space="preserve"> </w:t>
      </w:r>
    </w:p>
    <w:p w:rsidR="00CF0841" w:rsidRPr="000A4B3A" w:rsidRDefault="00CF0841" w:rsidP="000A4B3A">
      <w:pPr>
        <w:pStyle w:val="ListParagraph"/>
        <w:numPr>
          <w:ilvl w:val="0"/>
          <w:numId w:val="6"/>
        </w:numPr>
        <w:rPr>
          <w:rFonts w:ascii="Century Gothic" w:hAnsi="Century Gothic"/>
        </w:rPr>
      </w:pPr>
      <w:r w:rsidRPr="000A4B3A">
        <w:rPr>
          <w:rFonts w:ascii="Century Gothic" w:hAnsi="Century Gothic"/>
        </w:rPr>
        <w:t>Students are compensated for internships, which may include a salary, stipend, credit or other appropr</w:t>
      </w:r>
      <w:r w:rsidR="000A4B3A">
        <w:rPr>
          <w:rFonts w:ascii="Century Gothic" w:hAnsi="Century Gothic"/>
        </w:rPr>
        <w:t xml:space="preserve">iate solutions, related to the </w:t>
      </w:r>
      <w:r w:rsidR="006E3808">
        <w:rPr>
          <w:rFonts w:ascii="Century Gothic" w:hAnsi="Century Gothic"/>
        </w:rPr>
        <w:t>AOHT</w:t>
      </w:r>
      <w:r w:rsidRPr="000A4B3A">
        <w:rPr>
          <w:rFonts w:ascii="Century Gothic" w:hAnsi="Century Gothic"/>
        </w:rPr>
        <w:t xml:space="preserve"> </w:t>
      </w:r>
      <w:r w:rsidR="000A4B3A">
        <w:rPr>
          <w:rFonts w:ascii="Century Gothic" w:hAnsi="Century Gothic"/>
        </w:rPr>
        <w:t>of Hospitality and Tourism theme</w:t>
      </w:r>
      <w:r w:rsidRPr="000A4B3A">
        <w:rPr>
          <w:rFonts w:ascii="Century Gothic" w:hAnsi="Century Gothic"/>
        </w:rPr>
        <w:t>.</w:t>
      </w:r>
    </w:p>
    <w:p w:rsidR="008344A1" w:rsidRDefault="008344A1" w:rsidP="008344A1">
      <w:pPr>
        <w:ind w:firstLine="720"/>
        <w:rPr>
          <w:rFonts w:ascii="Century Gothic" w:hAnsi="Century Gothic"/>
        </w:rPr>
      </w:pPr>
      <w:r>
        <w:rPr>
          <w:rFonts w:ascii="Century Gothic" w:hAnsi="Century Gothic"/>
          <w:b/>
        </w:rPr>
        <w:t>Project-based L</w:t>
      </w:r>
      <w:r w:rsidR="00CF0841" w:rsidRPr="008344A1">
        <w:rPr>
          <w:rFonts w:ascii="Century Gothic" w:hAnsi="Century Gothic"/>
          <w:b/>
        </w:rPr>
        <w:t>earning:</w:t>
      </w:r>
      <w:r w:rsidR="00CF0841" w:rsidRPr="00882888">
        <w:rPr>
          <w:rFonts w:ascii="Century Gothic" w:hAnsi="Century Gothic"/>
        </w:rPr>
        <w:t xml:space="preserve"> </w:t>
      </w:r>
    </w:p>
    <w:p w:rsidR="008344A1" w:rsidRDefault="00CF0841" w:rsidP="008344A1">
      <w:pPr>
        <w:pStyle w:val="ListParagraph"/>
        <w:numPr>
          <w:ilvl w:val="0"/>
          <w:numId w:val="9"/>
        </w:numPr>
        <w:rPr>
          <w:rFonts w:ascii="Century Gothic" w:hAnsi="Century Gothic"/>
        </w:rPr>
      </w:pPr>
      <w:r w:rsidRPr="008344A1">
        <w:rPr>
          <w:rFonts w:ascii="Century Gothic" w:hAnsi="Century Gothic"/>
        </w:rPr>
        <w:t xml:space="preserve">Project-based learning is a teaching method that engages students by focusing on complex questions or problems and having them investigate answers to problems over an extended period of time, often resulting in presentations or products. </w:t>
      </w:r>
    </w:p>
    <w:p w:rsidR="008344A1" w:rsidRDefault="00CF0841" w:rsidP="008344A1">
      <w:pPr>
        <w:pStyle w:val="ListParagraph"/>
        <w:numPr>
          <w:ilvl w:val="0"/>
          <w:numId w:val="9"/>
        </w:numPr>
        <w:rPr>
          <w:rFonts w:ascii="Century Gothic" w:hAnsi="Century Gothic"/>
        </w:rPr>
      </w:pPr>
      <w:r w:rsidRPr="008344A1">
        <w:rPr>
          <w:rFonts w:ascii="Century Gothic" w:hAnsi="Century Gothic"/>
        </w:rPr>
        <w:t xml:space="preserve">The duration of the project is at least two to four weeks </w:t>
      </w:r>
    </w:p>
    <w:p w:rsidR="008344A1" w:rsidRDefault="008344A1" w:rsidP="008344A1">
      <w:pPr>
        <w:pStyle w:val="ListParagraph"/>
        <w:numPr>
          <w:ilvl w:val="1"/>
          <w:numId w:val="9"/>
        </w:numPr>
        <w:rPr>
          <w:rFonts w:ascii="Century Gothic" w:hAnsi="Century Gothic"/>
        </w:rPr>
      </w:pPr>
      <w:r>
        <w:rPr>
          <w:rFonts w:ascii="Century Gothic" w:hAnsi="Century Gothic"/>
        </w:rPr>
        <w:t>Projects may specify</w:t>
      </w:r>
      <w:r w:rsidR="00CF0841" w:rsidRPr="008344A1">
        <w:rPr>
          <w:rFonts w:ascii="Century Gothic" w:hAnsi="Century Gothic"/>
        </w:rPr>
        <w:t xml:space="preserve"> products</w:t>
      </w:r>
      <w:r>
        <w:rPr>
          <w:rFonts w:ascii="Century Gothic" w:hAnsi="Century Gothic"/>
        </w:rPr>
        <w:t xml:space="preserve"> or services</w:t>
      </w:r>
      <w:r w:rsidR="00CF0841" w:rsidRPr="008344A1">
        <w:rPr>
          <w:rFonts w:ascii="Century Gothic" w:hAnsi="Century Gothic"/>
        </w:rPr>
        <w:t xml:space="preserve"> that solve problems, explain dilemmas, or present information generated through investigation, research, or reasoning. </w:t>
      </w:r>
    </w:p>
    <w:p w:rsidR="00CF0841" w:rsidRDefault="00CF0841" w:rsidP="008344A1">
      <w:pPr>
        <w:pStyle w:val="ListParagraph"/>
        <w:numPr>
          <w:ilvl w:val="1"/>
          <w:numId w:val="9"/>
        </w:numPr>
        <w:rPr>
          <w:rFonts w:ascii="Century Gothic" w:hAnsi="Century Gothic"/>
        </w:rPr>
      </w:pPr>
      <w:r w:rsidRPr="008344A1">
        <w:rPr>
          <w:rFonts w:ascii="Century Gothic" w:hAnsi="Century Gothic"/>
        </w:rPr>
        <w:t>Uses performance-based assessments that communicate high expectations, present rigorous challenges, and require a range of skills and knowledge.</w:t>
      </w:r>
    </w:p>
    <w:p w:rsidR="008344A1" w:rsidRDefault="008344A1" w:rsidP="008344A1">
      <w:pPr>
        <w:ind w:left="720"/>
        <w:rPr>
          <w:rFonts w:ascii="Century Gothic" w:hAnsi="Century Gothic"/>
          <w:b/>
        </w:rPr>
      </w:pPr>
      <w:r>
        <w:rPr>
          <w:rFonts w:ascii="Century Gothic" w:hAnsi="Century Gothic"/>
          <w:b/>
        </w:rPr>
        <w:t>College Preparation:</w:t>
      </w:r>
    </w:p>
    <w:p w:rsidR="006E3808" w:rsidRDefault="006E3808" w:rsidP="006E3808">
      <w:pPr>
        <w:pStyle w:val="ListParagraph"/>
        <w:numPr>
          <w:ilvl w:val="0"/>
          <w:numId w:val="13"/>
        </w:numPr>
        <w:rPr>
          <w:rFonts w:ascii="Century Gothic" w:hAnsi="Century Gothic"/>
        </w:rPr>
      </w:pPr>
      <w:r w:rsidRPr="006E3808">
        <w:rPr>
          <w:rFonts w:ascii="Century Gothic" w:hAnsi="Century Gothic"/>
        </w:rPr>
        <w:t xml:space="preserve">The </w:t>
      </w:r>
      <w:r>
        <w:rPr>
          <w:rFonts w:ascii="Century Gothic" w:hAnsi="Century Gothic"/>
        </w:rPr>
        <w:t>AOHT</w:t>
      </w:r>
      <w:r w:rsidRPr="006E3808">
        <w:rPr>
          <w:rFonts w:ascii="Century Gothic" w:hAnsi="Century Gothic"/>
        </w:rPr>
        <w:t xml:space="preserve"> intentionally builds the college knowledge of students, helping them understand the post-secondary system and culture, research college options, and navigate issues such as testing, applications, and financial aid. </w:t>
      </w:r>
    </w:p>
    <w:p w:rsidR="006E3808" w:rsidRDefault="006E3808" w:rsidP="006E3808">
      <w:pPr>
        <w:pStyle w:val="ListParagraph"/>
        <w:numPr>
          <w:ilvl w:val="0"/>
          <w:numId w:val="13"/>
        </w:numPr>
        <w:rPr>
          <w:rFonts w:ascii="Century Gothic" w:hAnsi="Century Gothic"/>
        </w:rPr>
      </w:pPr>
      <w:r w:rsidRPr="006E3808">
        <w:rPr>
          <w:rFonts w:ascii="Century Gothic" w:hAnsi="Century Gothic"/>
        </w:rPr>
        <w:t xml:space="preserve">All </w:t>
      </w:r>
      <w:r>
        <w:rPr>
          <w:rFonts w:ascii="Century Gothic" w:hAnsi="Century Gothic"/>
        </w:rPr>
        <w:t>AOHT</w:t>
      </w:r>
      <w:r w:rsidRPr="006E3808">
        <w:rPr>
          <w:rFonts w:ascii="Century Gothic" w:hAnsi="Century Gothic"/>
        </w:rPr>
        <w:t xml:space="preserve"> students take a program of study that makes them at least eligible for admission to a state college. </w:t>
      </w:r>
    </w:p>
    <w:p w:rsidR="006E3808" w:rsidRPr="006E3808" w:rsidRDefault="006E3808" w:rsidP="006E3808">
      <w:pPr>
        <w:pStyle w:val="ListParagraph"/>
        <w:numPr>
          <w:ilvl w:val="0"/>
          <w:numId w:val="13"/>
        </w:numPr>
        <w:rPr>
          <w:rFonts w:ascii="Century Gothic" w:hAnsi="Century Gothic"/>
        </w:rPr>
      </w:pPr>
      <w:r>
        <w:rPr>
          <w:rFonts w:ascii="Century Gothic" w:hAnsi="Century Gothic"/>
        </w:rPr>
        <w:t>Students in the AOHT</w:t>
      </w:r>
      <w:r w:rsidRPr="006E3808">
        <w:rPr>
          <w:rFonts w:ascii="Century Gothic" w:hAnsi="Century Gothic"/>
        </w:rPr>
        <w:t xml:space="preserve"> have access to multiple post-secondary education options through articulation agreements, industry certifications, dual enrollment, Advanced Placement, International Baccalaureate courses, and other formal activities.</w:t>
      </w:r>
    </w:p>
    <w:p w:rsidR="008344A1" w:rsidRDefault="008344A1" w:rsidP="008344A1">
      <w:pPr>
        <w:ind w:firstLine="720"/>
        <w:rPr>
          <w:rFonts w:ascii="Century Gothic" w:hAnsi="Century Gothic"/>
        </w:rPr>
      </w:pPr>
      <w:r w:rsidRPr="008344A1">
        <w:rPr>
          <w:rFonts w:ascii="Century Gothic" w:hAnsi="Century Gothic"/>
          <w:b/>
        </w:rPr>
        <w:t>Data Collection:</w:t>
      </w:r>
      <w:r>
        <w:rPr>
          <w:rFonts w:ascii="Century Gothic" w:hAnsi="Century Gothic"/>
        </w:rPr>
        <w:t xml:space="preserve"> </w:t>
      </w:r>
    </w:p>
    <w:p w:rsidR="008344A1" w:rsidRDefault="008344A1" w:rsidP="008344A1">
      <w:pPr>
        <w:pStyle w:val="ListParagraph"/>
        <w:numPr>
          <w:ilvl w:val="1"/>
          <w:numId w:val="10"/>
        </w:numPr>
        <w:rPr>
          <w:rFonts w:ascii="Century Gothic" w:hAnsi="Century Gothic"/>
        </w:rPr>
      </w:pPr>
      <w:r w:rsidRPr="008344A1">
        <w:rPr>
          <w:rFonts w:ascii="Century Gothic" w:hAnsi="Century Gothic"/>
        </w:rPr>
        <w:t xml:space="preserve">The AOHT </w:t>
      </w:r>
      <w:r w:rsidR="00CF0841" w:rsidRPr="008344A1">
        <w:rPr>
          <w:rFonts w:ascii="Century Gothic" w:hAnsi="Century Gothic"/>
        </w:rPr>
        <w:t xml:space="preserve">collects, analyzes and reports student data including characteristics (grade level, gender, race/ethnicity, ESL) and performance on a variety of outcome measures to make comparisons to the high school, in general. </w:t>
      </w:r>
    </w:p>
    <w:p w:rsidR="00CF0841" w:rsidRDefault="00CF0841" w:rsidP="008344A1">
      <w:pPr>
        <w:pStyle w:val="ListParagraph"/>
        <w:numPr>
          <w:ilvl w:val="1"/>
          <w:numId w:val="10"/>
        </w:numPr>
        <w:rPr>
          <w:rFonts w:ascii="Century Gothic" w:hAnsi="Century Gothic"/>
        </w:rPr>
      </w:pPr>
      <w:r w:rsidRPr="008344A1">
        <w:rPr>
          <w:rFonts w:ascii="Century Gothic" w:hAnsi="Century Gothic"/>
        </w:rPr>
        <w:t xml:space="preserve">Data review by the advisory board, </w:t>
      </w:r>
      <w:r w:rsidR="006E3808">
        <w:rPr>
          <w:rFonts w:ascii="Century Gothic" w:hAnsi="Century Gothic"/>
        </w:rPr>
        <w:t>AOHT</w:t>
      </w:r>
      <w:r w:rsidRPr="008344A1">
        <w:rPr>
          <w:rFonts w:ascii="Century Gothic" w:hAnsi="Century Gothic"/>
        </w:rPr>
        <w:t xml:space="preserve"> leadership, and school administration is an integral component of the continuous improvement cycle of the </w:t>
      </w:r>
      <w:r w:rsidR="006E3808">
        <w:rPr>
          <w:rFonts w:ascii="Century Gothic" w:hAnsi="Century Gothic"/>
        </w:rPr>
        <w:t>AOHT</w:t>
      </w:r>
      <w:r w:rsidRPr="008344A1">
        <w:rPr>
          <w:rFonts w:ascii="Century Gothic" w:hAnsi="Century Gothic"/>
        </w:rPr>
        <w:t>.</w:t>
      </w:r>
    </w:p>
    <w:sectPr w:rsidR="00CF0841" w:rsidSect="00CE76F2">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382" w:rsidRDefault="001A7382" w:rsidP="001A7382">
      <w:pPr>
        <w:spacing w:after="0" w:line="240" w:lineRule="auto"/>
      </w:pPr>
      <w:r>
        <w:separator/>
      </w:r>
    </w:p>
  </w:endnote>
  <w:endnote w:type="continuationSeparator" w:id="0">
    <w:p w:rsidR="001A7382" w:rsidRDefault="001A7382" w:rsidP="001A7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Lucida Grande"/>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382" w:rsidRPr="001A7382" w:rsidRDefault="001A7382">
    <w:pPr>
      <w:tabs>
        <w:tab w:val="center" w:pos="4550"/>
        <w:tab w:val="left" w:pos="5818"/>
      </w:tabs>
      <w:ind w:right="260"/>
      <w:jc w:val="right"/>
      <w:rPr>
        <w:rFonts w:ascii="Century Gothic" w:hAnsi="Century Gothic"/>
        <w:color w:val="222A35" w:themeColor="text2" w:themeShade="80"/>
        <w:sz w:val="20"/>
        <w:szCs w:val="20"/>
      </w:rPr>
    </w:pPr>
    <w:r w:rsidRPr="001A7382">
      <w:rPr>
        <w:rFonts w:ascii="Century Gothic" w:hAnsi="Century Gothic"/>
        <w:color w:val="8496B0" w:themeColor="text2" w:themeTint="99"/>
        <w:spacing w:val="60"/>
        <w:sz w:val="20"/>
        <w:szCs w:val="20"/>
      </w:rPr>
      <w:t>Page</w:t>
    </w:r>
    <w:r w:rsidRPr="001A7382">
      <w:rPr>
        <w:rFonts w:ascii="Century Gothic" w:hAnsi="Century Gothic"/>
        <w:color w:val="8496B0" w:themeColor="text2" w:themeTint="99"/>
        <w:sz w:val="20"/>
        <w:szCs w:val="20"/>
      </w:rPr>
      <w:t xml:space="preserve"> </w:t>
    </w:r>
    <w:fldSimple w:instr=" PAGE   \* MERGEFORMAT ">
      <w:r w:rsidR="00E969DF">
        <w:rPr>
          <w:rFonts w:ascii="Century Gothic" w:hAnsi="Century Gothic"/>
          <w:noProof/>
          <w:color w:val="323E4F" w:themeColor="text2" w:themeShade="BF"/>
          <w:sz w:val="20"/>
          <w:szCs w:val="20"/>
        </w:rPr>
        <w:t>2</w:t>
      </w:r>
    </w:fldSimple>
    <w:r w:rsidRPr="001A7382">
      <w:rPr>
        <w:rFonts w:ascii="Century Gothic" w:hAnsi="Century Gothic"/>
        <w:color w:val="323E4F" w:themeColor="text2" w:themeShade="BF"/>
        <w:sz w:val="20"/>
        <w:szCs w:val="20"/>
      </w:rPr>
      <w:t xml:space="preserve"> | </w:t>
    </w:r>
    <w:fldSimple w:instr=" NUMPAGES  \* Arabic  \* MERGEFORMAT ">
      <w:r w:rsidR="00E969DF">
        <w:rPr>
          <w:rFonts w:ascii="Century Gothic" w:hAnsi="Century Gothic"/>
          <w:noProof/>
          <w:color w:val="323E4F" w:themeColor="text2" w:themeShade="BF"/>
          <w:sz w:val="20"/>
          <w:szCs w:val="20"/>
        </w:rPr>
        <w:t>3</w:t>
      </w:r>
    </w:fldSimple>
  </w:p>
  <w:p w:rsidR="001A7382" w:rsidRDefault="001A738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382" w:rsidRDefault="001A7382" w:rsidP="001A7382">
      <w:pPr>
        <w:spacing w:after="0" w:line="240" w:lineRule="auto"/>
      </w:pPr>
      <w:r>
        <w:separator/>
      </w:r>
    </w:p>
  </w:footnote>
  <w:footnote w:type="continuationSeparator" w:id="0">
    <w:p w:rsidR="001A7382" w:rsidRDefault="001A7382" w:rsidP="001A738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6915"/>
    <w:multiLevelType w:val="hybridMultilevel"/>
    <w:tmpl w:val="1A0C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F2A76"/>
    <w:multiLevelType w:val="hybridMultilevel"/>
    <w:tmpl w:val="9D265EB2"/>
    <w:lvl w:ilvl="0" w:tplc="12B2A7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265565"/>
    <w:multiLevelType w:val="hybridMultilevel"/>
    <w:tmpl w:val="89CAB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AA2679"/>
    <w:multiLevelType w:val="hybridMultilevel"/>
    <w:tmpl w:val="5A82B166"/>
    <w:lvl w:ilvl="0" w:tplc="37D2CE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025BFC"/>
    <w:multiLevelType w:val="hybridMultilevel"/>
    <w:tmpl w:val="A60ED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5E11CA"/>
    <w:multiLevelType w:val="hybridMultilevel"/>
    <w:tmpl w:val="31805CE2"/>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27FA6A7F"/>
    <w:multiLevelType w:val="hybridMultilevel"/>
    <w:tmpl w:val="9FBEA738"/>
    <w:lvl w:ilvl="0" w:tplc="37D2CE7A">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6261944"/>
    <w:multiLevelType w:val="hybridMultilevel"/>
    <w:tmpl w:val="193A3264"/>
    <w:lvl w:ilvl="0" w:tplc="37D2CE7A">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C82145"/>
    <w:multiLevelType w:val="hybridMultilevel"/>
    <w:tmpl w:val="054202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E56CB8"/>
    <w:multiLevelType w:val="hybridMultilevel"/>
    <w:tmpl w:val="4A3C2F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1600893"/>
    <w:multiLevelType w:val="hybridMultilevel"/>
    <w:tmpl w:val="6FFCA6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8A7206"/>
    <w:multiLevelType w:val="hybridMultilevel"/>
    <w:tmpl w:val="2D72C8EC"/>
    <w:lvl w:ilvl="0" w:tplc="8EB8A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0E78B0"/>
    <w:multiLevelType w:val="hybridMultilevel"/>
    <w:tmpl w:val="5CB28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0"/>
  </w:num>
  <w:num w:numId="3">
    <w:abstractNumId w:val="4"/>
  </w:num>
  <w:num w:numId="4">
    <w:abstractNumId w:val="5"/>
  </w:num>
  <w:num w:numId="5">
    <w:abstractNumId w:val="12"/>
  </w:num>
  <w:num w:numId="6">
    <w:abstractNumId w:val="1"/>
  </w:num>
  <w:num w:numId="7">
    <w:abstractNumId w:val="2"/>
  </w:num>
  <w:num w:numId="8">
    <w:abstractNumId w:val="10"/>
  </w:num>
  <w:num w:numId="9">
    <w:abstractNumId w:val="7"/>
  </w:num>
  <w:num w:numId="10">
    <w:abstractNumId w:val="6"/>
  </w:num>
  <w:num w:numId="11">
    <w:abstractNumId w:val="9"/>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CF0841"/>
    <w:rsid w:val="000A4B3A"/>
    <w:rsid w:val="001A7382"/>
    <w:rsid w:val="002E4870"/>
    <w:rsid w:val="00314BB0"/>
    <w:rsid w:val="006E3808"/>
    <w:rsid w:val="008344A1"/>
    <w:rsid w:val="00882888"/>
    <w:rsid w:val="00CE76F2"/>
    <w:rsid w:val="00CF0841"/>
    <w:rsid w:val="00D14C33"/>
    <w:rsid w:val="00E22D9F"/>
    <w:rsid w:val="00E969DF"/>
    <w:rsid w:val="00EF622D"/>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82888"/>
    <w:pPr>
      <w:ind w:left="720"/>
      <w:contextualSpacing/>
    </w:pPr>
  </w:style>
  <w:style w:type="paragraph" w:styleId="Header">
    <w:name w:val="header"/>
    <w:basedOn w:val="Normal"/>
    <w:link w:val="HeaderChar"/>
    <w:uiPriority w:val="99"/>
    <w:unhideWhenUsed/>
    <w:rsid w:val="001A7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382"/>
  </w:style>
  <w:style w:type="paragraph" w:styleId="Footer">
    <w:name w:val="footer"/>
    <w:basedOn w:val="Normal"/>
    <w:link w:val="FooterChar"/>
    <w:uiPriority w:val="99"/>
    <w:unhideWhenUsed/>
    <w:rsid w:val="001A7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382"/>
  </w:style>
  <w:style w:type="paragraph" w:styleId="BalloonText">
    <w:name w:val="Balloon Text"/>
    <w:basedOn w:val="Normal"/>
    <w:link w:val="BalloonTextChar"/>
    <w:uiPriority w:val="99"/>
    <w:semiHidden/>
    <w:unhideWhenUsed/>
    <w:rsid w:val="00314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3538</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Akoshia Yoba</dc:creator>
  <cp:keywords/>
  <dc:description/>
  <cp:lastModifiedBy>Sarah Hutchinson</cp:lastModifiedBy>
  <cp:revision>2</cp:revision>
  <cp:lastPrinted>2016-02-11T14:53:00Z</cp:lastPrinted>
  <dcterms:created xsi:type="dcterms:W3CDTF">2016-05-12T19:53:00Z</dcterms:created>
  <dcterms:modified xsi:type="dcterms:W3CDTF">2016-05-12T19:53:00Z</dcterms:modified>
</cp:coreProperties>
</file>